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4171C"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3191253</wp:posOffset>
            </wp:positionH>
            <wp:positionV relativeFrom="paragraph">
              <wp:posOffset>443254</wp:posOffset>
            </wp:positionV>
            <wp:extent cx="1891323" cy="1880880"/>
            <wp:effectExtent l="0" t="0" r="0" b="508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1323" cy="1880880"/>
                    </a:xfrm>
                    <a:prstGeom prst="rect">
                      <a:avLst/>
                    </a:prstGeom>
                    <a:noFill/>
                  </pic:spPr>
                </pic:pic>
              </a:graphicData>
            </a:graphic>
            <wp14:sizeRelH relativeFrom="margin">
              <wp14:pctWidth>0</wp14:pctWidth>
            </wp14:sizeRelH>
            <wp14:sizeRelV relativeFrom="margin">
              <wp14:pctHeight>0</wp14:pctHeight>
            </wp14:sizeRelV>
          </wp:anchor>
        </w:drawing>
      </w:r>
      <w:r w:rsidR="004E0615">
        <w:rPr>
          <w:b/>
          <w:sz w:val="44"/>
          <w:szCs w:val="44"/>
        </w:rPr>
        <w:t>Candle in the sound</w:t>
      </w:r>
    </w:p>
    <w:p w:rsidR="00201AC2" w:rsidRDefault="00201AC2" w:rsidP="00201AC2">
      <w:pPr>
        <w:spacing w:after="180"/>
      </w:pPr>
    </w:p>
    <w:p w:rsidR="004E0615" w:rsidRPr="004E0615" w:rsidRDefault="004E0615" w:rsidP="004E0615">
      <w:pPr>
        <w:spacing w:line="276" w:lineRule="auto"/>
      </w:pPr>
      <w:r w:rsidRPr="004E0615">
        <w:t>A lighted candle is put in front of a speaker</w:t>
      </w:r>
    </w:p>
    <w:p w:rsidR="004E0615" w:rsidRPr="004E0615" w:rsidRDefault="004E0615" w:rsidP="004E0615">
      <w:pPr>
        <w:spacing w:line="276" w:lineRule="auto"/>
      </w:pPr>
      <w:r w:rsidRPr="004E0615">
        <w:t>The speaker makes a sound wave.</w:t>
      </w:r>
    </w:p>
    <w:p w:rsidR="004E0615" w:rsidRPr="004E0615" w:rsidRDefault="004E0615" w:rsidP="004E0615">
      <w:pPr>
        <w:spacing w:line="276" w:lineRule="auto"/>
      </w:pPr>
      <w:r w:rsidRPr="004E0615">
        <w:t>The sound wave makes the candle flame flicker.</w:t>
      </w:r>
    </w:p>
    <w:p w:rsidR="00B23B31" w:rsidRDefault="00B23B31" w:rsidP="00201AC2">
      <w:pPr>
        <w:spacing w:after="180"/>
      </w:pPr>
    </w:p>
    <w:p w:rsidR="00F6675D" w:rsidRDefault="00F6675D" w:rsidP="00F6675D">
      <w:pPr>
        <w:spacing w:after="180"/>
      </w:pPr>
    </w:p>
    <w:p w:rsidR="004E0615" w:rsidRPr="008243E9" w:rsidRDefault="004E0615" w:rsidP="00F6675D">
      <w:pPr>
        <w:spacing w:after="180"/>
      </w:pPr>
    </w:p>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4E0615" w:rsidRPr="004E0615" w:rsidRDefault="004E0615" w:rsidP="004E0615">
      <w:pPr>
        <w:tabs>
          <w:tab w:val="right" w:leader="dot" w:pos="7655"/>
        </w:tabs>
        <w:spacing w:after="120"/>
      </w:pPr>
      <w:r w:rsidRPr="004E0615">
        <w:rPr>
          <w:lang w:val="en-US"/>
        </w:rPr>
        <w:t>How will the candle flame move differently if the sound wave is made louder?</w:t>
      </w:r>
    </w:p>
    <w:p w:rsidR="00F6675D" w:rsidRDefault="00F6675D" w:rsidP="004E0615">
      <w:pPr>
        <w:tabs>
          <w:tab w:val="right" w:leader="dot" w:pos="9026"/>
        </w:tabs>
        <w:spacing w:after="120"/>
      </w:pPr>
      <w:r>
        <w:tab/>
      </w:r>
    </w:p>
    <w:p w:rsidR="004E0615" w:rsidRDefault="004E0615" w:rsidP="004E0615">
      <w:pPr>
        <w:tabs>
          <w:tab w:val="right" w:leader="dot" w:pos="9026"/>
        </w:tabs>
        <w:spacing w:after="120"/>
      </w:pPr>
      <w:r>
        <w:tab/>
      </w:r>
    </w:p>
    <w:p w:rsidR="004E0615" w:rsidRPr="004E0615" w:rsidRDefault="004E0615" w:rsidP="004E0615">
      <w:pPr>
        <w:tabs>
          <w:tab w:val="right" w:leader="dot" w:pos="9026"/>
        </w:tabs>
        <w:spacing w:after="120"/>
      </w:pPr>
      <w:r w:rsidRPr="004E0615">
        <w:rPr>
          <w:lang w:val="en-US"/>
        </w:rPr>
        <w:t>How will it move differently if the frequency of the sound wave is made higher?</w:t>
      </w:r>
    </w:p>
    <w:p w:rsidR="004E0615" w:rsidRDefault="004E0615" w:rsidP="004E0615">
      <w:pPr>
        <w:tabs>
          <w:tab w:val="right" w:leader="dot" w:pos="9026"/>
        </w:tabs>
        <w:spacing w:after="120"/>
      </w:pPr>
      <w:r>
        <w:tab/>
      </w:r>
    </w:p>
    <w:p w:rsidR="00F6675D" w:rsidRDefault="00F6675D" w:rsidP="004E0615">
      <w:pPr>
        <w:tabs>
          <w:tab w:val="right" w:leader="dot" w:pos="9026"/>
        </w:tabs>
        <w:spacing w:after="120"/>
      </w:pPr>
      <w:r>
        <w:tab/>
      </w:r>
    </w:p>
    <w:p w:rsidR="00F6675D" w:rsidRPr="00E172C6" w:rsidRDefault="00F6675D" w:rsidP="004E0615">
      <w:pPr>
        <w:tabs>
          <w:tab w:val="right" w:leader="dot" w:pos="9026"/>
        </w:tabs>
        <w:spacing w:after="120"/>
        <w:rPr>
          <w:b/>
        </w:rPr>
      </w:pPr>
      <w:r>
        <w:rPr>
          <w:b/>
        </w:rPr>
        <w:t>Explain</w:t>
      </w:r>
    </w:p>
    <w:p w:rsidR="00F6675D" w:rsidRDefault="00F6675D" w:rsidP="004E0615">
      <w:pPr>
        <w:tabs>
          <w:tab w:val="right" w:leader="dot" w:pos="9026"/>
        </w:tabs>
        <w:spacing w:after="120"/>
      </w:pPr>
      <w:r w:rsidRPr="004E0615">
        <w:rPr>
          <w:lang w:eastAsia="en-GB"/>
        </w:rPr>
        <w:t>Explain why you think this will happen.</w:t>
      </w:r>
    </w:p>
    <w:p w:rsidR="00F6675D" w:rsidRDefault="00F6675D" w:rsidP="004E0615">
      <w:pPr>
        <w:tabs>
          <w:tab w:val="right" w:leader="dot" w:pos="9026"/>
        </w:tabs>
        <w:spacing w:after="120"/>
      </w:pPr>
      <w:r>
        <w:tab/>
      </w:r>
    </w:p>
    <w:p w:rsidR="00F6675D" w:rsidRPr="00201AC2" w:rsidRDefault="00F6675D" w:rsidP="004E0615">
      <w:pPr>
        <w:tabs>
          <w:tab w:val="right" w:leader="dot" w:pos="9026"/>
        </w:tabs>
        <w:spacing w:after="120"/>
        <w:rPr>
          <w:szCs w:val="18"/>
        </w:rPr>
      </w:pPr>
      <w:r>
        <w:tab/>
      </w:r>
    </w:p>
    <w:p w:rsidR="00F6675D" w:rsidRDefault="00F6675D" w:rsidP="004E0615">
      <w:pPr>
        <w:tabs>
          <w:tab w:val="right" w:leader="dot" w:pos="9026"/>
        </w:tabs>
        <w:spacing w:after="120"/>
      </w:pPr>
      <w:r>
        <w:tab/>
      </w:r>
    </w:p>
    <w:p w:rsidR="00F6675D" w:rsidRPr="008E662A" w:rsidRDefault="00F6675D" w:rsidP="004E0615">
      <w:pPr>
        <w:tabs>
          <w:tab w:val="right" w:leader="dot" w:pos="9026"/>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563C6F" w:rsidRDefault="004E0615" w:rsidP="004E0615">
            <w:pPr>
              <w:tabs>
                <w:tab w:val="right" w:leader="dot" w:pos="9026"/>
              </w:tabs>
              <w:jc w:val="center"/>
              <w:rPr>
                <w:b/>
              </w:rPr>
            </w:pPr>
            <w:r w:rsidRPr="004E0615">
              <w:rPr>
                <w:b/>
                <w:bCs/>
                <w:lang w:val="en-US"/>
              </w:rPr>
              <w:t>Watch a demonstration</w:t>
            </w:r>
            <w:r>
              <w:rPr>
                <w:b/>
              </w:rPr>
              <w:t xml:space="preserve"> of the investigation</w:t>
            </w:r>
          </w:p>
        </w:tc>
      </w:tr>
    </w:tbl>
    <w:p w:rsidR="00F6675D" w:rsidRDefault="00F6675D" w:rsidP="004E0615">
      <w:pPr>
        <w:tabs>
          <w:tab w:val="right" w:leader="dot" w:pos="9026"/>
        </w:tabs>
        <w:spacing w:after="120"/>
        <w:rPr>
          <w:b/>
          <w:sz w:val="4"/>
          <w:szCs w:val="4"/>
        </w:rPr>
      </w:pPr>
    </w:p>
    <w:p w:rsidR="00F6675D" w:rsidRPr="00F45BBF" w:rsidRDefault="00F6675D" w:rsidP="004E0615">
      <w:pPr>
        <w:tabs>
          <w:tab w:val="right" w:leader="dot" w:pos="9026"/>
        </w:tabs>
        <w:spacing w:after="120"/>
        <w:rPr>
          <w:b/>
          <w:sz w:val="4"/>
          <w:szCs w:val="4"/>
        </w:rPr>
      </w:pPr>
    </w:p>
    <w:p w:rsidR="00F6675D" w:rsidRPr="00E172C6" w:rsidRDefault="00F6675D" w:rsidP="004E0615">
      <w:pPr>
        <w:tabs>
          <w:tab w:val="right" w:leader="dot" w:pos="9026"/>
        </w:tabs>
        <w:spacing w:after="120"/>
        <w:rPr>
          <w:b/>
        </w:rPr>
      </w:pPr>
      <w:r>
        <w:rPr>
          <w:b/>
        </w:rPr>
        <w:t>Observe</w:t>
      </w:r>
    </w:p>
    <w:p w:rsidR="004E0615" w:rsidRPr="004E0615" w:rsidRDefault="004E0615" w:rsidP="004E0615">
      <w:pPr>
        <w:tabs>
          <w:tab w:val="right" w:leader="dot" w:pos="9026"/>
        </w:tabs>
        <w:spacing w:after="120" w:line="276" w:lineRule="auto"/>
        <w:rPr>
          <w:rFonts w:ascii="Calibri" w:eastAsia="Times New Roman" w:hAnsi="Calibri" w:cs="Times New Roman"/>
          <w:lang w:eastAsia="en-GB" w:bidi="en-US"/>
        </w:rPr>
      </w:pPr>
      <w:r w:rsidRPr="004E0615">
        <w:rPr>
          <w:rFonts w:ascii="Calibri" w:eastAsia="Times New Roman" w:hAnsi="Calibri" w:cs="Times New Roman"/>
          <w:lang w:val="en-US" w:eastAsia="en-GB" w:bidi="en-US"/>
        </w:rPr>
        <w:t>Describe what happens to the candle flame when the sound wave is made louder, and when the frequency of the sound wave is increased.</w:t>
      </w:r>
    </w:p>
    <w:p w:rsidR="00F6675D" w:rsidRDefault="00F6675D" w:rsidP="004E0615">
      <w:pPr>
        <w:tabs>
          <w:tab w:val="right" w:leader="dot" w:pos="9026"/>
        </w:tabs>
        <w:spacing w:after="120"/>
      </w:pPr>
      <w:r>
        <w:tab/>
      </w:r>
    </w:p>
    <w:p w:rsidR="00F6675D" w:rsidRDefault="00F6675D" w:rsidP="004E0615">
      <w:pPr>
        <w:tabs>
          <w:tab w:val="right" w:leader="dot" w:pos="9026"/>
        </w:tabs>
        <w:spacing w:after="120"/>
      </w:pPr>
      <w:r>
        <w:tab/>
      </w:r>
    </w:p>
    <w:p w:rsidR="00F6675D" w:rsidRPr="00E172C6" w:rsidRDefault="00F6675D" w:rsidP="004E0615">
      <w:pPr>
        <w:tabs>
          <w:tab w:val="right" w:leader="dot" w:pos="9026"/>
        </w:tabs>
        <w:spacing w:after="120"/>
        <w:rPr>
          <w:b/>
        </w:rPr>
      </w:pPr>
      <w:r>
        <w:rPr>
          <w:b/>
        </w:rPr>
        <w:t>Explain</w:t>
      </w:r>
    </w:p>
    <w:p w:rsidR="004E0615" w:rsidRPr="004E0615" w:rsidRDefault="004E0615" w:rsidP="004E0615">
      <w:pPr>
        <w:tabs>
          <w:tab w:val="right" w:leader="dot" w:pos="9026"/>
        </w:tabs>
        <w:spacing w:after="120"/>
      </w:pPr>
      <w:r w:rsidRPr="004E0615">
        <w:t>Were your predictions and explanations correct?</w:t>
      </w:r>
    </w:p>
    <w:p w:rsidR="004E0615" w:rsidRPr="004E0615" w:rsidRDefault="004E0615" w:rsidP="004E0615">
      <w:pPr>
        <w:tabs>
          <w:tab w:val="right" w:leader="dot" w:pos="9026"/>
        </w:tabs>
        <w:spacing w:after="120"/>
      </w:pPr>
      <w:r w:rsidRPr="004E0615">
        <w:t xml:space="preserve">Try to improve your first explanations to explain what happened more clearly. </w:t>
      </w:r>
    </w:p>
    <w:p w:rsidR="00F6675D" w:rsidRDefault="00F6675D" w:rsidP="004E0615">
      <w:pPr>
        <w:tabs>
          <w:tab w:val="right" w:leader="dot" w:pos="9026"/>
        </w:tabs>
        <w:spacing w:after="120"/>
      </w:pPr>
      <w:r>
        <w:tab/>
      </w:r>
    </w:p>
    <w:p w:rsidR="00F6675D" w:rsidRDefault="00F6675D" w:rsidP="004E0615">
      <w:pPr>
        <w:tabs>
          <w:tab w:val="right" w:leader="dot" w:pos="9026"/>
        </w:tabs>
        <w:spacing w:after="120"/>
      </w:pPr>
      <w:r>
        <w:tab/>
      </w:r>
    </w:p>
    <w:p w:rsidR="00F6675D" w:rsidRPr="00201AC2" w:rsidRDefault="00F6675D" w:rsidP="004E0615">
      <w:pPr>
        <w:tabs>
          <w:tab w:val="right" w:leader="dot" w:pos="9026"/>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D0DF8" w:rsidRPr="006F3279" w:rsidRDefault="009D0DF8" w:rsidP="009D0DF8">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PSL4.2</w:t>
      </w:r>
      <w:r w:rsidRPr="00CA4B46">
        <w:rPr>
          <w:i/>
          <w:sz w:val="18"/>
          <w:szCs w:val="18"/>
        </w:rPr>
        <w:t xml:space="preserve">: </w:t>
      </w:r>
      <w:r>
        <w:rPr>
          <w:i/>
          <w:sz w:val="18"/>
          <w:szCs w:val="18"/>
        </w:rPr>
        <w:t>A wave model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D0DF8" w:rsidP="00BC3206">
            <w:pPr>
              <w:spacing w:after="60"/>
              <w:ind w:left="1304"/>
              <w:rPr>
                <w:b/>
                <w:sz w:val="40"/>
                <w:szCs w:val="40"/>
              </w:rPr>
            </w:pPr>
            <w:r>
              <w:rPr>
                <w:b/>
                <w:sz w:val="40"/>
                <w:szCs w:val="40"/>
              </w:rPr>
              <w:t>Candle in the sound</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D0DF8" w:rsidTr="003F16F9">
        <w:trPr>
          <w:trHeight w:val="340"/>
        </w:trPr>
        <w:tc>
          <w:tcPr>
            <w:tcW w:w="2196" w:type="dxa"/>
          </w:tcPr>
          <w:p w:rsidR="009D0DF8" w:rsidRDefault="009D0DF8" w:rsidP="009D0DF8">
            <w:pPr>
              <w:spacing w:before="60" w:after="60"/>
            </w:pPr>
            <w:r>
              <w:t>Learning focus:</w:t>
            </w:r>
          </w:p>
        </w:tc>
        <w:tc>
          <w:tcPr>
            <w:tcW w:w="6820" w:type="dxa"/>
          </w:tcPr>
          <w:p w:rsidR="009D0DF8" w:rsidRDefault="009D0DF8" w:rsidP="009D0DF8">
            <w:pPr>
              <w:spacing w:before="60" w:after="60"/>
            </w:pPr>
            <w:r w:rsidRPr="00BC4629">
              <w:t>As a sound wave (longitudinal wave) travels it transfers energy, as particles of the medium through which it travels are successively made to vibrate forwards and backwards along the direction in which the wave travels.</w:t>
            </w:r>
          </w:p>
        </w:tc>
      </w:tr>
      <w:tr w:rsidR="009D0DF8" w:rsidTr="003F16F9">
        <w:trPr>
          <w:trHeight w:val="340"/>
        </w:trPr>
        <w:tc>
          <w:tcPr>
            <w:tcW w:w="2196" w:type="dxa"/>
          </w:tcPr>
          <w:p w:rsidR="009D0DF8" w:rsidRDefault="009D0DF8" w:rsidP="009D0DF8">
            <w:pPr>
              <w:spacing w:before="60" w:after="60"/>
            </w:pPr>
            <w:r>
              <w:t>Observable learning outcome:</w:t>
            </w:r>
          </w:p>
        </w:tc>
        <w:tc>
          <w:tcPr>
            <w:tcW w:w="6820" w:type="dxa"/>
          </w:tcPr>
          <w:p w:rsidR="009D0DF8" w:rsidRPr="00A50C9C" w:rsidRDefault="00C21472" w:rsidP="009D0DF8">
            <w:pPr>
              <w:spacing w:before="60" w:after="60"/>
              <w:rPr>
                <w:b/>
              </w:rPr>
            </w:pPr>
            <w:r w:rsidRPr="00C21472">
              <w:t>Compare the energy transferred by sound waves that have a different frequency or loudness to each other and are moving through a common medium.</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9D0DF8" w:rsidP="00755E81">
            <w:pPr>
              <w:spacing w:before="60" w:after="60"/>
            </w:pPr>
            <w:r w:rsidRPr="00BC4629">
              <w:t>Sound wave, vibrate, vibration, amplitude, frequency</w:t>
            </w:r>
            <w:r>
              <w:t>, energy</w:t>
            </w:r>
          </w:p>
        </w:tc>
      </w:tr>
    </w:tbl>
    <w:p w:rsidR="00E172C6" w:rsidRDefault="00E172C6" w:rsidP="00E172C6">
      <w:pPr>
        <w:spacing w:after="180"/>
      </w:pPr>
    </w:p>
    <w:p w:rsidR="00755E81" w:rsidRPr="00E95D7B"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E95D7B">
        <w:rPr>
          <w:rFonts w:cstheme="minorHAnsi"/>
          <w:color w:val="222222"/>
          <w:shd w:val="clear" w:color="auto" w:fill="FFFFFF"/>
        </w:rPr>
        <w:t xml:space="preserve">he </w:t>
      </w:r>
      <w:r w:rsidR="00E95D7B" w:rsidRPr="00E95D7B">
        <w:rPr>
          <w:rFonts w:cstheme="minorHAnsi"/>
          <w:color w:val="222222"/>
          <w:shd w:val="clear" w:color="auto" w:fill="FFFFFF"/>
        </w:rPr>
        <w:t>following diagnostic question:</w:t>
      </w:r>
    </w:p>
    <w:p w:rsidR="00B00348" w:rsidRPr="00E95D7B" w:rsidRDefault="00B00348" w:rsidP="00B00348">
      <w:pPr>
        <w:pStyle w:val="ListParagraph"/>
        <w:numPr>
          <w:ilvl w:val="0"/>
          <w:numId w:val="1"/>
        </w:numPr>
        <w:spacing w:after="180"/>
      </w:pPr>
      <w:r w:rsidRPr="00E95D7B">
        <w:t xml:space="preserve">Diagnostic </w:t>
      </w:r>
      <w:r w:rsidR="00E3348F" w:rsidRPr="00E95D7B">
        <w:t>question</w:t>
      </w:r>
      <w:r w:rsidRPr="00E95D7B">
        <w:t xml:space="preserve">: </w:t>
      </w:r>
      <w:r w:rsidR="00E95D7B" w:rsidRPr="00E95D7B">
        <w:t>Sound bubble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E95D7B" w:rsidRPr="00F57591" w:rsidRDefault="00E95D7B" w:rsidP="00E95D7B">
      <w:pPr>
        <w:spacing w:after="180"/>
        <w:rPr>
          <w:b/>
          <w:color w:val="5F497A" w:themeColor="accent4" w:themeShade="BF"/>
          <w:sz w:val="24"/>
        </w:rPr>
      </w:pPr>
      <w:r>
        <w:t xml:space="preserve">When waves move through a medium students often describe the movement of some entity (perhaps mass, matter or force) through the medium. The scientific explanation involves no such movement. A wave moves forwards when a perturbation passes through a medium, and after it has passed the material of the medium returns to its original position. This is what distinguishes the motion of a wave from the motion of an object. </w:t>
      </w:r>
      <w:r>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fldChar w:fldCharType="separate"/>
      </w:r>
      <w:r>
        <w:rPr>
          <w:noProof/>
        </w:rPr>
        <w:t>(Fazio et al., 2008)</w:t>
      </w:r>
      <w:r>
        <w:fldChar w:fldCharType="end"/>
      </w:r>
    </w:p>
    <w:p w:rsidR="00E95D7B" w:rsidRPr="00005EAB" w:rsidRDefault="00E95D7B" w:rsidP="00E95D7B">
      <w:pPr>
        <w:spacing w:after="180"/>
      </w:pPr>
      <w:r>
        <w:t xml:space="preserve">In the study by Fazio et al. </w:t>
      </w:r>
      <w:r>
        <w:fldChar w:fldCharType="begin"/>
      </w:r>
      <w:r>
        <w:instrText xml:space="preserve"> ADDIN EN.CITE &lt;EndNote&gt;&lt;Cite ExcludeAuth="1"&gt;&lt;Author&gt;Fazio&lt;/Author&gt;&lt;Year&gt;2008&lt;/Year&gt;&lt;IDText&gt;Modelling Mechanical Wave Propogation: Guidelines and experimentation of a teaching-learning sequence&lt;/IDText&gt;&lt;DisplayText&gt;(2008)&lt;/DisplayText&gt;&lt;record&gt;&lt;titles&gt;&lt;title&gt;Modelling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fldChar w:fldCharType="separate"/>
      </w:r>
      <w:r>
        <w:rPr>
          <w:noProof/>
        </w:rPr>
        <w:t>(2008)</w:t>
      </w:r>
      <w:r>
        <w:fldChar w:fldCharType="end"/>
      </w:r>
      <w:r>
        <w:t xml:space="preserve">, some students explained that waves set off with a bigger amplitude moved faster because they had been given more energy or more force. When talking about energy students tend to use science terms loosely: Driver et al. </w:t>
      </w:r>
      <w:r>
        <w:fldChar w:fldCharType="begin"/>
      </w:r>
      <w:r>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(1994)</w:t>
      </w:r>
      <w:r>
        <w:fldChar w:fldCharType="end"/>
      </w:r>
      <w:r>
        <w:t xml:space="preserve"> </w:t>
      </w:r>
      <w:r w:rsidRPr="009A6103">
        <w:t>describe evidence from several researchers that students often confuse ideas of energy with ideas of force, work or power and may use the terms interchangeably.</w:t>
      </w:r>
      <w:r w:rsidRPr="00FC6F87">
        <w:rPr>
          <w:rFonts w:ascii="Calibri" w:hAnsi="Calibri"/>
        </w:rPr>
        <w:t xml:space="preserve"> </w:t>
      </w:r>
      <w:r>
        <w:rPr>
          <w:rFonts w:ascii="Calibri" w:hAnsi="Calibri"/>
        </w:rPr>
        <w:fldChar w:fldCharType="begin"/>
      </w:r>
      <w:r>
        <w:rPr>
          <w:rFonts w:ascii="Calibri" w:hAnsi="Calibri"/>
        </w:rPr>
        <w:instrText xml:space="preserve"> ADDIN EN.CITE &lt;EndNote&gt;&lt;Cite&gt;&lt;Author&gt;Rogers&lt;/Author&gt;&lt;Year&gt;2018&lt;/Year&gt;&lt;IDText&gt;The big ideas in physics and how to teach them&lt;/IDText&gt;&lt;DisplayText&gt;(Rogers, 2018)&lt;/DisplayText&gt;&lt;record&gt;&lt;isbn&gt;9781138235076&lt;/isbn&gt;&lt;titles&gt;&lt;title&gt;The big ideas in physics and how to teach them&lt;/title&gt;&lt;/titles&gt;&lt;contributors&gt;&lt;authors&gt;&lt;author&gt;Rogers, Ben.&lt;/author&gt;&lt;/authors&gt;&lt;/contributors&gt;&lt;edition&gt;1&lt;/edition&gt;&lt;added-date format="utc"&gt;1530625541&lt;/added-date&gt;&lt;pub-location&gt;Abingdon and New York&lt;/pub-location&gt;&lt;ref-type name="Book"&gt;6&lt;/ref-type&gt;&lt;dates&gt;&lt;year&gt;2018&lt;/year&gt;&lt;/dates&gt;&lt;rec-number&gt;2&lt;/rec-number&gt;&lt;publisher&gt;Routledge&lt;/publisher&gt;&lt;last-updated-date format="utc"&gt;1530630992&lt;/last-updated-date&gt;&lt;/record&gt;&lt;/Cite&gt;&lt;/EndNote&gt;</w:instrText>
      </w:r>
      <w:r>
        <w:rPr>
          <w:rFonts w:ascii="Calibri" w:hAnsi="Calibri"/>
        </w:rPr>
        <w:fldChar w:fldCharType="separate"/>
      </w:r>
      <w:r>
        <w:rPr>
          <w:rFonts w:ascii="Calibri" w:hAnsi="Calibri"/>
          <w:noProof/>
        </w:rPr>
        <w:t>(Rogers, 2018)</w:t>
      </w:r>
      <w:r>
        <w:rPr>
          <w:rFonts w:ascii="Calibri" w:hAnsi="Calibri"/>
        </w:rPr>
        <w:fldChar w:fldCharType="end"/>
      </w:r>
      <w:r>
        <w:rPr>
          <w:rFonts w:ascii="Calibri" w:hAnsi="Calibri"/>
        </w:rPr>
        <w:t xml:space="preserve"> emphasises the importance of teachers modelling accurate use of science terms and advises giving students opportunities to practise using language precisely to help them develop an accurate model of what is happening.</w:t>
      </w:r>
    </w:p>
    <w:p w:rsidR="00E95D7B" w:rsidRDefault="00E95D7B" w:rsidP="00E95D7B">
      <w:pPr>
        <w:spacing w:after="180"/>
        <w:rPr>
          <w:rFonts w:ascii="Calibri" w:hAnsi="Calibri"/>
        </w:rPr>
      </w:pPr>
      <w:r w:rsidRPr="009A6103">
        <w:rPr>
          <w:rFonts w:ascii="Calibri" w:hAnsi="Calibri"/>
        </w:rPr>
        <w:t>Generally people think of energy as a substance, with flow and conservat</w:t>
      </w:r>
      <w:r>
        <w:rPr>
          <w:rFonts w:ascii="Calibri" w:hAnsi="Calibri"/>
        </w:rPr>
        <w:t>ion analogous to that of matter.</w:t>
      </w:r>
      <w:r w:rsidRPr="009A6103">
        <w:rPr>
          <w:rFonts w:ascii="Calibri" w:hAnsi="Calibri"/>
        </w:rPr>
        <w:t xml:space="preserve"> </w:t>
      </w:r>
      <w:r>
        <w:rPr>
          <w:rFonts w:ascii="Calibri" w:hAnsi="Calibri"/>
        </w:rPr>
        <w:t>A</w:t>
      </w:r>
      <w:r w:rsidRPr="009A6103">
        <w:rPr>
          <w:rFonts w:ascii="Calibri" w:hAnsi="Calibri"/>
        </w:rPr>
        <w:t>lthou</w:t>
      </w:r>
      <w:r>
        <w:rPr>
          <w:rFonts w:ascii="Calibri" w:hAnsi="Calibri"/>
        </w:rPr>
        <w:t>gh not scientifically correct this</w:t>
      </w:r>
      <w:r w:rsidRPr="009A6103">
        <w:rPr>
          <w:rFonts w:ascii="Calibri" w:hAnsi="Calibri"/>
        </w:rPr>
        <w:t xml:space="preserve"> is co</w:t>
      </w:r>
      <w:r>
        <w:rPr>
          <w:rFonts w:ascii="Calibri" w:hAnsi="Calibri"/>
        </w:rPr>
        <w:t xml:space="preserve">nsidered an acceptable analogy </w:t>
      </w:r>
      <w:r>
        <w:rPr>
          <w:rFonts w:ascii="Calibri" w:hAnsi="Calibri"/>
        </w:rPr>
        <w:fldChar w:fldCharType="begin"/>
      </w:r>
      <w:r>
        <w:rPr>
          <w:rFonts w:ascii="Calibri" w:hAnsi="Calibri"/>
        </w:rPr>
        <w:instrText xml:space="preserve"> ADDIN EN.CITE &lt;EndNote&gt;&lt;Cite&gt;&lt;Author&gt;Robin&lt;/Author&gt;&lt;Year&gt;2011&lt;/Year&gt;&lt;IDText&gt;Energy&lt;/IDText&gt;&lt;DisplayText&gt;(Millar, 2011)&lt;/DisplayText&gt;&lt;record&gt;&lt;titles&gt;&lt;title&gt;Energy&lt;/title&gt;&lt;secondary-title&gt;Teaching Secondary Physics&lt;/secondary-title&gt;&lt;/titles&gt;&lt;pages&gt;1-48&lt;/pages&gt;&lt;contributors&gt;&lt;authors&gt;&lt;author&gt;Robin Millar&lt;/author&gt;&lt;/authors&gt;&lt;/contributors&gt;&lt;section&gt;1&lt;/section&gt;&lt;reprint-edition&gt;5&lt;/reprint-edition&gt;&lt;added-date format="utc"&gt;1530625151&lt;/added-date&gt;&lt;pub-location&gt;London&lt;/pub-location&gt;&lt;ref-type name="Book Section"&gt;5&lt;/ref-type&gt;&lt;dates&gt;&lt;year&gt;2011&lt;/year&gt;&lt;/dates&gt;&lt;rec-number&gt;1&lt;/rec-number&gt;&lt;publisher&gt;Hodder Education&lt;/publisher&gt;&lt;last-updated-date format="utc"&gt;1530625151&lt;/last-updated-date&gt;&lt;contributors&gt;&lt;secondary-authors&gt;&lt;author&gt;David Sang&lt;/author&gt;&lt;/secondary-authors&gt;&lt;/contributors&gt;&lt;orig-pub&gt;2011&lt;/orig-pub&gt;&lt;/record&gt;&lt;/Cite&gt;&lt;/EndNote&gt;</w:instrText>
      </w:r>
      <w:r>
        <w:rPr>
          <w:rFonts w:ascii="Calibri" w:hAnsi="Calibri"/>
        </w:rPr>
        <w:fldChar w:fldCharType="separate"/>
      </w:r>
      <w:r>
        <w:rPr>
          <w:rFonts w:ascii="Calibri" w:hAnsi="Calibri"/>
          <w:noProof/>
        </w:rPr>
        <w:t>(Millar, 2011)</w:t>
      </w:r>
      <w:r>
        <w:rPr>
          <w:rFonts w:ascii="Calibri" w:hAnsi="Calibri"/>
        </w:rPr>
        <w:fldChar w:fldCharType="end"/>
      </w:r>
      <w:r>
        <w:rPr>
          <w:rFonts w:ascii="Calibri" w:hAnsi="Calibri"/>
        </w:rPr>
        <w:t xml:space="preserve">. When explaining how energy is transferred, </w:t>
      </w:r>
      <w:r>
        <w:rPr>
          <w:rFonts w:ascii="Calibri" w:hAnsi="Calibri"/>
        </w:rPr>
        <w:fldChar w:fldCharType="begin"/>
      </w:r>
      <w:r>
        <w:rPr>
          <w:rFonts w:ascii="Calibri" w:hAnsi="Calibri"/>
        </w:rPr>
        <w:instrText xml:space="preserve"> ADDIN EN.CITE &lt;EndNote&gt;&lt;Cite&gt;&lt;Author&gt;Tracy&lt;/Author&gt;&lt;Year&gt;2014&lt;/Year&gt;&lt;IDText&gt;Energy in the new curriculum: an opportunity for change&lt;/IDText&gt;&lt;DisplayText&gt;(Tracy, 2014)&lt;/DisplayText&gt;&lt;record&gt;&lt;titles&gt;&lt;title&gt;Energy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format="utc"&gt;1530692064&lt;/last-updated-date&gt;&lt;volume&gt;96&lt;/volume&gt;&lt;/record&gt;&lt;/Cite&gt;&lt;/EndNote&gt;</w:instrText>
      </w:r>
      <w:r>
        <w:rPr>
          <w:rFonts w:ascii="Calibri" w:hAnsi="Calibri"/>
        </w:rPr>
        <w:fldChar w:fldCharType="separate"/>
      </w:r>
      <w:r>
        <w:rPr>
          <w:rFonts w:ascii="Calibri" w:hAnsi="Calibri"/>
          <w:noProof/>
        </w:rPr>
        <w:t>(Tracy, 2014)</w:t>
      </w:r>
      <w:r>
        <w:rPr>
          <w:rFonts w:ascii="Calibri" w:hAnsi="Calibri"/>
        </w:rPr>
        <w:fldChar w:fldCharType="end"/>
      </w:r>
      <w:r>
        <w:rPr>
          <w:rFonts w:ascii="Calibri" w:hAnsi="Calibri"/>
        </w:rPr>
        <w:t xml:space="preserve"> recommends that we focus on describing the processes and mechanisms involved. He suggests that trying to identify the ‘energy’ in each step is just a labelling exercise that can get in the way of a clear understanding of what is happening.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CE2972">
        <w:t xml:space="preserve"> </w:t>
      </w:r>
      <w:r>
        <w:t>It is through the discussions that students can check their understanding and rehearse their explanations.</w:t>
      </w:r>
    </w:p>
    <w:p w:rsidR="00BC3206" w:rsidRDefault="00BC3206" w:rsidP="00BC3206">
      <w:pPr>
        <w:spacing w:after="180"/>
      </w:pPr>
      <w:r>
        <w:lastRenderedPageBreak/>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CE2972">
        <w:t xml:space="preserve"> </w:t>
      </w:r>
      <w:r>
        <w:t>If students in any group cannot agree, you may be able to direct them with some careful questioning.</w:t>
      </w:r>
      <w:r w:rsidR="00CE2972">
        <w:t xml:space="preserve"> </w:t>
      </w:r>
    </w:p>
    <w:p w:rsidR="008E31D7" w:rsidRDefault="00BC3206" w:rsidP="008E31D7">
      <w:pPr>
        <w:spacing w:after="180"/>
      </w:pPr>
      <w:r>
        <w:t>Students now watch a demonstration</w:t>
      </w:r>
      <w:r w:rsidR="00EE1888">
        <w:t xml:space="preserve"> of the investigation. If you have a class set of equipment </w:t>
      </w:r>
      <w:r>
        <w:t>for</w:t>
      </w:r>
      <w:r w:rsidRPr="00F666A4">
        <w:t xml:space="preserve"> each group to </w:t>
      </w:r>
      <w:r>
        <w:t>carry out the</w:t>
      </w:r>
      <w:r w:rsidR="00EE1888">
        <w:t>ir</w:t>
      </w:r>
      <w:r>
        <w:t xml:space="preserve"> </w:t>
      </w:r>
      <w:r w:rsidR="00EE1888">
        <w:t xml:space="preserve">own </w:t>
      </w:r>
      <w:r>
        <w:t xml:space="preserve">practical </w:t>
      </w:r>
      <w:r w:rsidR="00EE1888">
        <w:t>then you are very lucky, although the cacophony of sound likely to be created may deter you from this approach.</w:t>
      </w:r>
    </w:p>
    <w:p w:rsidR="008E31D7" w:rsidRPr="008E31D7" w:rsidRDefault="008E31D7" w:rsidP="008E31D7">
      <w:pPr>
        <w:spacing w:after="180"/>
        <w:rPr>
          <w:b/>
        </w:rPr>
      </w:pPr>
      <w:r w:rsidRPr="008E31D7">
        <w:rPr>
          <w:b/>
        </w:rPr>
        <w:t>Practical-demonstration procedure</w:t>
      </w:r>
    </w:p>
    <w:p w:rsidR="008E31D7" w:rsidRDefault="008E31D7" w:rsidP="008E31D7">
      <w:pPr>
        <w:pStyle w:val="ListParagraph"/>
        <w:numPr>
          <w:ilvl w:val="0"/>
          <w:numId w:val="1"/>
        </w:numPr>
        <w:spacing w:after="180"/>
      </w:pPr>
      <w:r>
        <w:t>Set up the loudspeaker to run from a signal generator.</w:t>
      </w:r>
    </w:p>
    <w:p w:rsidR="008E31D7" w:rsidRDefault="008E31D7" w:rsidP="008E31D7">
      <w:pPr>
        <w:pStyle w:val="ListParagraph"/>
        <w:numPr>
          <w:ilvl w:val="0"/>
          <w:numId w:val="1"/>
        </w:numPr>
        <w:spacing w:after="180"/>
      </w:pPr>
      <w:r>
        <w:t>Without the candle demonstrate the movement of the speaker cone as the amplitude is increased, and then as the frequency is increased from zero, up to a frequency that can be heard.</w:t>
      </w:r>
      <w:r w:rsidR="00CE2972">
        <w:t xml:space="preserve"> This is more dramatic if the speaker is placed on its side and a ping-pong ball (or several) placed in the cone.</w:t>
      </w:r>
    </w:p>
    <w:p w:rsidR="008E31D7" w:rsidRDefault="008E31D7" w:rsidP="008E31D7">
      <w:pPr>
        <w:pStyle w:val="ListParagraph"/>
        <w:numPr>
          <w:ilvl w:val="0"/>
          <w:numId w:val="1"/>
        </w:numPr>
        <w:spacing w:after="180"/>
      </w:pPr>
      <w:r>
        <w:t>Light the candle and show how it flickers when placed in the sound wave. A very low frequency works best – perhaps just a few hertz, below what the students can hear. This gives a more distinct movement to the flame’s flicker. Don’t forget to start with a low amplitude too.</w:t>
      </w:r>
    </w:p>
    <w:p w:rsidR="008E31D7" w:rsidRDefault="008E31D7" w:rsidP="008E31D7">
      <w:pPr>
        <w:pStyle w:val="ListParagraph"/>
        <w:numPr>
          <w:ilvl w:val="0"/>
          <w:numId w:val="1"/>
        </w:numPr>
        <w:spacing w:after="180"/>
      </w:pPr>
      <w:r>
        <w:t>Demonstrate the effect of increasing amplitude, and then of increasing frequency.</w:t>
      </w:r>
    </w:p>
    <w:p w:rsidR="00BC3206" w:rsidRDefault="00BC3206" w:rsidP="00BC3206">
      <w:pPr>
        <w:spacing w:after="180"/>
      </w:pPr>
      <w:r>
        <w:t>After the practical each group should be given the opportunity to change, or improve their explanation.</w:t>
      </w:r>
      <w:r w:rsidR="00CE2972">
        <w:t xml:space="preserve"> </w:t>
      </w:r>
      <w:r>
        <w:t>A good way to review your students’ thinking might be through a structured class discussion.</w:t>
      </w:r>
      <w:r w:rsidR="00CE2972">
        <w:t xml:space="preserve"> </w:t>
      </w:r>
      <w:r>
        <w:t xml:space="preserve">You could ask several groups for their </w:t>
      </w:r>
      <w:r>
        <w:rPr>
          <w:i/>
        </w:rPr>
        <w:t>expla</w:t>
      </w:r>
      <w:r w:rsidRPr="00BA242F">
        <w:rPr>
          <w:i/>
        </w:rPr>
        <w:t>n</w:t>
      </w:r>
      <w:r>
        <w:rPr>
          <w:i/>
        </w:rPr>
        <w:t>ations</w:t>
      </w:r>
      <w:r>
        <w:t xml:space="preserve"> and put these on the whiteboard.</w:t>
      </w:r>
      <w:r w:rsidR="00CE2972">
        <w:t xml:space="preserve"> </w:t>
      </w:r>
      <w:r>
        <w:t>Then ask other groups to suggest which explanation is the most accurate and the most clearly expressed, and through careful questioning work up a clear ‘class explanation’.</w:t>
      </w:r>
      <w:r w:rsidR="00CE2972">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CE2972">
        <w:t xml:space="preserve"> </w:t>
      </w:r>
      <w:r>
        <w:t>For example, you may choose to select a student with strong prior knowledge as a scribe, and forbid them from contributing any of their own answers.</w:t>
      </w:r>
      <w:r w:rsidR="00CE2972">
        <w:t xml:space="preserve"> </w:t>
      </w:r>
      <w:r>
        <w:t>They may question the others and only write down what they have been told.</w:t>
      </w:r>
      <w:r w:rsidR="00CE2972">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1D0511" w:rsidRDefault="000F4932" w:rsidP="001D0511">
      <w:pPr>
        <w:pStyle w:val="ListParagraph"/>
        <w:numPr>
          <w:ilvl w:val="0"/>
          <w:numId w:val="1"/>
        </w:numPr>
        <w:spacing w:after="180"/>
      </w:pPr>
      <w:r>
        <w:t>A loudspeaker</w:t>
      </w:r>
    </w:p>
    <w:p w:rsidR="000F4932" w:rsidRDefault="000F4932" w:rsidP="001D0511">
      <w:pPr>
        <w:pStyle w:val="ListParagraph"/>
        <w:numPr>
          <w:ilvl w:val="0"/>
          <w:numId w:val="1"/>
        </w:numPr>
        <w:spacing w:after="180"/>
      </w:pPr>
      <w:r>
        <w:t>A signal generator</w:t>
      </w:r>
    </w:p>
    <w:p w:rsidR="000F4932" w:rsidRDefault="000F4932" w:rsidP="001D0511">
      <w:pPr>
        <w:pStyle w:val="ListParagraph"/>
        <w:numPr>
          <w:ilvl w:val="0"/>
          <w:numId w:val="1"/>
        </w:numPr>
        <w:spacing w:after="180"/>
      </w:pPr>
      <w:r>
        <w:t>Connecting wires</w:t>
      </w:r>
    </w:p>
    <w:p w:rsidR="000F4932" w:rsidRDefault="000F4932" w:rsidP="000F4932">
      <w:pPr>
        <w:pStyle w:val="ListParagraph"/>
        <w:numPr>
          <w:ilvl w:val="0"/>
          <w:numId w:val="1"/>
        </w:numPr>
        <w:spacing w:after="180"/>
      </w:pPr>
      <w:r>
        <w:t>A candle, and the means of lighting it</w:t>
      </w:r>
    </w:p>
    <w:p w:rsidR="000F4932" w:rsidRDefault="000F4932" w:rsidP="001D0511">
      <w:pPr>
        <w:pStyle w:val="ListParagraph"/>
        <w:numPr>
          <w:ilvl w:val="0"/>
          <w:numId w:val="1"/>
        </w:numPr>
        <w:spacing w:after="180"/>
      </w:pPr>
      <w:r>
        <w:t>A support for the candle</w:t>
      </w:r>
    </w:p>
    <w:p w:rsidR="00CE2972" w:rsidRPr="000947E2" w:rsidRDefault="00CE2972" w:rsidP="001D0511">
      <w:pPr>
        <w:pStyle w:val="ListParagraph"/>
        <w:numPr>
          <w:ilvl w:val="0"/>
          <w:numId w:val="1"/>
        </w:numPr>
        <w:spacing w:after="180"/>
      </w:pPr>
      <w:r>
        <w:t>Ping-pong balls (3 or 4)</w:t>
      </w:r>
    </w:p>
    <w:p w:rsidR="00CE2972" w:rsidRDefault="00CE2972">
      <w:pPr>
        <w:spacing w:after="200" w:line="276" w:lineRule="auto"/>
        <w:rPr>
          <w:b/>
          <w:color w:val="5F497A" w:themeColor="accent4" w:themeShade="BF"/>
          <w:sz w:val="24"/>
        </w:rPr>
      </w:pPr>
      <w:r>
        <w:rPr>
          <w:b/>
          <w:color w:val="5F497A" w:themeColor="accent4" w:themeShade="BF"/>
          <w:sz w:val="24"/>
        </w:rPr>
        <w:br w:type="page"/>
      </w:r>
    </w:p>
    <w:p w:rsidR="00B26756" w:rsidRPr="002454AC" w:rsidRDefault="00B26756" w:rsidP="00B26756">
      <w:pPr>
        <w:spacing w:after="180"/>
        <w:rPr>
          <w:b/>
          <w:color w:val="5F497A" w:themeColor="accent4" w:themeShade="BF"/>
          <w:sz w:val="24"/>
        </w:rPr>
      </w:pPr>
      <w:r w:rsidRPr="002454AC">
        <w:rPr>
          <w:b/>
          <w:color w:val="5F497A" w:themeColor="accent4" w:themeShade="BF"/>
          <w:sz w:val="24"/>
        </w:rPr>
        <w:lastRenderedPageBreak/>
        <w:t>Technician notes</w:t>
      </w:r>
    </w:p>
    <w:p w:rsidR="00B26756" w:rsidRDefault="00D02AF0" w:rsidP="00B26756">
      <w:pPr>
        <w:spacing w:after="180"/>
      </w:pPr>
      <w:r>
        <w:t>A large (bass) speaker wo</w:t>
      </w:r>
      <w:r w:rsidR="008E31D7">
        <w:t>rks best, with any screen removed from in front of it</w:t>
      </w:r>
      <w:r w:rsidR="00CE2972">
        <w:t xml:space="preserve"> so the cone is visible</w:t>
      </w:r>
      <w:r w:rsidR="008E31D7">
        <w:t>.</w:t>
      </w:r>
    </w:p>
    <w:p w:rsidR="008E31D7" w:rsidRDefault="008E31D7" w:rsidP="00B26756">
      <w:pPr>
        <w:spacing w:after="180"/>
      </w:pPr>
      <w:r>
        <w:t>The candle needs to be securely fixed in place on a support so that the flame is roughly level with the centre of the speaker.</w:t>
      </w:r>
    </w:p>
    <w:p w:rsidR="008E31D7" w:rsidRDefault="008E31D7" w:rsidP="00B26756">
      <w:pPr>
        <w:spacing w:after="180"/>
      </w:pPr>
      <w:r>
        <w:t>The position of the candle can be altered to maximise the effect, but 20 to 30 cm from the speaker usually works well.</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1C7578" w:rsidP="00B26756">
      <w:pPr>
        <w:spacing w:after="180"/>
      </w:pPr>
      <w:r>
        <w:t>Mains electricity and a hot candle.</w:t>
      </w:r>
    </w:p>
    <w:p w:rsidR="001C7578" w:rsidRDefault="001C7578" w:rsidP="00B26756">
      <w:pPr>
        <w:spacing w:after="180"/>
      </w:pPr>
      <w:r>
        <w:t xml:space="preserve">Hot wax </w:t>
      </w:r>
      <w:r w:rsidR="00D97C9F">
        <w:t>may drip</w:t>
      </w:r>
      <w:r>
        <w:t xml:space="preserve"> if the candle is moved </w:t>
      </w:r>
      <w:r w:rsidR="00D97C9F">
        <w:t xml:space="preserve">and </w:t>
      </w:r>
      <w:r>
        <w:t>may cause burning –</w:t>
      </w:r>
      <w:r w:rsidR="00E367C4">
        <w:t xml:space="preserve"> more likely (?) if the demonstration is assisted or carried out by students.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F80E37" w:rsidP="00B00348">
      <w:pPr>
        <w:spacing w:after="180"/>
      </w:pPr>
      <w:r>
        <w:t>With a louder sound the</w:t>
      </w:r>
      <w:r w:rsidR="00D97C9F">
        <w:t xml:space="preserve"> </w:t>
      </w:r>
      <w:r>
        <w:t xml:space="preserve">size of the candle’s flicker increases. The air particles are moving backwards and forwards a greater distance and the candle flame moves with them. Each air particle has more energy because it is moving more quickly – each </w:t>
      </w:r>
      <w:r w:rsidR="00D97C9F">
        <w:t>air particle</w:t>
      </w:r>
      <w:r>
        <w:t xml:space="preserve"> moves a greater distance in the same amount of time as one in a quieter wave of the same frequency.</w:t>
      </w:r>
    </w:p>
    <w:p w:rsidR="00F80E37" w:rsidRDefault="00F80E37" w:rsidP="00B00348">
      <w:pPr>
        <w:spacing w:after="180"/>
      </w:pPr>
      <w:r>
        <w:t>With a higher pitched sound, the candle flickers more rapidly.</w:t>
      </w:r>
      <w:r w:rsidR="00A21035">
        <w:t xml:space="preserve"> There are more compressions passing the candle each second. Each air particle has more energy because it is moving more quickly – the same distance each flicker, but more times each second.</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E95D7B">
        <w:t>.</w:t>
      </w:r>
    </w:p>
    <w:p w:rsidR="00CC78A5" w:rsidRDefault="00D278E8" w:rsidP="00E172C6">
      <w:pPr>
        <w:spacing w:after="180"/>
      </w:pPr>
      <w:r w:rsidRPr="0045323E">
        <w:t xml:space="preserve">Images: </w:t>
      </w:r>
      <w:r w:rsidR="00BC3206">
        <w:t>Peter Fairhurst (UYSEG</w:t>
      </w:r>
      <w:r w:rsidR="00BC3206" w:rsidRPr="00BC3206">
        <w:t>)</w:t>
      </w:r>
      <w:r w:rsidR="00E95D7B">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E95D7B" w:rsidRPr="00E95D7B" w:rsidRDefault="00E95D7B" w:rsidP="00E95D7B">
      <w:pPr>
        <w:pStyle w:val="EndNoteBibliography"/>
        <w:spacing w:after="120"/>
        <w:ind w:left="425" w:hanging="425"/>
      </w:pPr>
      <w:r>
        <w:fldChar w:fldCharType="begin"/>
      </w:r>
      <w:r>
        <w:instrText xml:space="preserve"> ADDIN EN.REFLIST </w:instrText>
      </w:r>
      <w:r>
        <w:fldChar w:fldCharType="separate"/>
      </w:r>
      <w:r w:rsidRPr="00E95D7B">
        <w:t xml:space="preserve">Driver, R., et al. (1994). </w:t>
      </w:r>
      <w:r w:rsidRPr="00E95D7B">
        <w:rPr>
          <w:i/>
        </w:rPr>
        <w:t xml:space="preserve">Making Sense of Secondary Science: Research into Children's Ideas, </w:t>
      </w:r>
      <w:r w:rsidRPr="00E95D7B">
        <w:t>London, UK: Routledge.</w:t>
      </w:r>
    </w:p>
    <w:p w:rsidR="00E95D7B" w:rsidRPr="00E95D7B" w:rsidRDefault="00E95D7B" w:rsidP="00E95D7B">
      <w:pPr>
        <w:pStyle w:val="EndNoteBibliography"/>
        <w:spacing w:after="120"/>
        <w:ind w:left="425" w:hanging="425"/>
      </w:pPr>
      <w:r w:rsidRPr="00E95D7B">
        <w:t xml:space="preserve">Fazio, C., et al. (2008). Modelling Mechanical Wave Propogation: Guidelines and experimentation of a teaching-learning sequence. </w:t>
      </w:r>
      <w:r w:rsidRPr="00E95D7B">
        <w:rPr>
          <w:i/>
        </w:rPr>
        <w:t>International Journal of Science Education,</w:t>
      </w:r>
      <w:r w:rsidRPr="00E95D7B">
        <w:t xml:space="preserve"> 30:11</w:t>
      </w:r>
      <w:r w:rsidRPr="00E95D7B">
        <w:rPr>
          <w:b/>
        </w:rPr>
        <w:t>,</w:t>
      </w:r>
      <w:r w:rsidRPr="00E95D7B">
        <w:t xml:space="preserve"> 1491-1530.</w:t>
      </w:r>
    </w:p>
    <w:p w:rsidR="00E95D7B" w:rsidRPr="00E95D7B" w:rsidRDefault="00E95D7B" w:rsidP="00E95D7B">
      <w:pPr>
        <w:pStyle w:val="EndNoteBibliography"/>
        <w:spacing w:after="120"/>
        <w:ind w:left="425" w:hanging="425"/>
      </w:pPr>
      <w:r w:rsidRPr="00E95D7B">
        <w:t xml:space="preserve">Millar, R. (2011). Energy. In Sang, D. (ed.) </w:t>
      </w:r>
      <w:r w:rsidRPr="00E95D7B">
        <w:rPr>
          <w:i/>
        </w:rPr>
        <w:t>Teaching Secondary Physics.</w:t>
      </w:r>
      <w:r w:rsidRPr="00E95D7B">
        <w:t xml:space="preserve"> London: Hodder Education.</w:t>
      </w:r>
    </w:p>
    <w:p w:rsidR="00E95D7B" w:rsidRPr="00E95D7B" w:rsidRDefault="00E95D7B" w:rsidP="00E95D7B">
      <w:pPr>
        <w:pStyle w:val="EndNoteBibliography"/>
        <w:spacing w:after="120"/>
        <w:ind w:left="425" w:hanging="425"/>
      </w:pPr>
      <w:r w:rsidRPr="00E95D7B">
        <w:t xml:space="preserve">Rogers, B. (2018). </w:t>
      </w:r>
      <w:r w:rsidRPr="00E95D7B">
        <w:rPr>
          <w:i/>
        </w:rPr>
        <w:t xml:space="preserve">The big ideas in physics and how to teach them, 1 </w:t>
      </w:r>
      <w:r w:rsidRPr="00E95D7B">
        <w:t>edn</w:t>
      </w:r>
      <w:r w:rsidRPr="00E95D7B">
        <w:rPr>
          <w:i/>
        </w:rPr>
        <w:t xml:space="preserve"> </w:t>
      </w:r>
      <w:r w:rsidRPr="00E95D7B">
        <w:t>Abingdon and New York: Routledge.</w:t>
      </w:r>
    </w:p>
    <w:p w:rsidR="00E95D7B" w:rsidRPr="00E95D7B" w:rsidRDefault="00E95D7B" w:rsidP="00E95D7B">
      <w:pPr>
        <w:pStyle w:val="EndNoteBibliography"/>
        <w:spacing w:after="120"/>
        <w:ind w:left="425" w:hanging="425"/>
      </w:pPr>
      <w:r w:rsidRPr="00E95D7B">
        <w:t xml:space="preserve">Tracy, C. (2014). Energy in the new curriculum: an opportunity for change. </w:t>
      </w:r>
      <w:r w:rsidRPr="00E95D7B">
        <w:rPr>
          <w:i/>
        </w:rPr>
        <w:t>School Science Review,</w:t>
      </w:r>
      <w:r w:rsidRPr="00E95D7B">
        <w:t xml:space="preserve"> 96(354)</w:t>
      </w:r>
      <w:r w:rsidRPr="00E95D7B">
        <w:rPr>
          <w:b/>
        </w:rPr>
        <w:t>,</w:t>
      </w:r>
      <w:r w:rsidRPr="00E95D7B">
        <w:t xml:space="preserve"> 11.</w:t>
      </w:r>
    </w:p>
    <w:p w:rsidR="00B37A2E" w:rsidRPr="00B37A2E" w:rsidRDefault="00E95D7B" w:rsidP="00E95D7B">
      <w:pPr>
        <w:spacing w:after="120"/>
        <w:ind w:left="425" w:hanging="425"/>
      </w:pPr>
      <w:r>
        <w:fldChar w:fldCharType="end"/>
      </w:r>
    </w:p>
    <w:sectPr w:rsidR="00B37A2E" w:rsidRPr="00B37A2E"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615" w:rsidRDefault="004E0615" w:rsidP="000B473B">
      <w:r>
        <w:separator/>
      </w:r>
    </w:p>
  </w:endnote>
  <w:endnote w:type="continuationSeparator" w:id="0">
    <w:p w:rsidR="004E0615" w:rsidRDefault="004E061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E1A55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97C9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615" w:rsidRDefault="004E0615" w:rsidP="000B473B">
      <w:r>
        <w:separator/>
      </w:r>
    </w:p>
  </w:footnote>
  <w:footnote w:type="continuationSeparator" w:id="0">
    <w:p w:rsidR="004E0615" w:rsidRDefault="004E061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6548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DD49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99106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E0615"/>
    <w:rsid w:val="00015578"/>
    <w:rsid w:val="00024731"/>
    <w:rsid w:val="00026DEC"/>
    <w:rsid w:val="000505CA"/>
    <w:rsid w:val="00072C2E"/>
    <w:rsid w:val="0007651D"/>
    <w:rsid w:val="0009089A"/>
    <w:rsid w:val="000947E2"/>
    <w:rsid w:val="00095E04"/>
    <w:rsid w:val="000B473B"/>
    <w:rsid w:val="000D0E89"/>
    <w:rsid w:val="000E2689"/>
    <w:rsid w:val="000F4932"/>
    <w:rsid w:val="00142613"/>
    <w:rsid w:val="00144DA7"/>
    <w:rsid w:val="0015356E"/>
    <w:rsid w:val="00161D3F"/>
    <w:rsid w:val="001915D4"/>
    <w:rsid w:val="00194675"/>
    <w:rsid w:val="001A1FED"/>
    <w:rsid w:val="001A40E2"/>
    <w:rsid w:val="001C4805"/>
    <w:rsid w:val="001C7578"/>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E0615"/>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C7F34"/>
    <w:rsid w:val="008E31D7"/>
    <w:rsid w:val="008E580C"/>
    <w:rsid w:val="0090047A"/>
    <w:rsid w:val="009158ED"/>
    <w:rsid w:val="00925026"/>
    <w:rsid w:val="00931264"/>
    <w:rsid w:val="00942A4B"/>
    <w:rsid w:val="00961D59"/>
    <w:rsid w:val="009B2D55"/>
    <w:rsid w:val="009C0343"/>
    <w:rsid w:val="009D0DF8"/>
    <w:rsid w:val="009E0D11"/>
    <w:rsid w:val="00A000F3"/>
    <w:rsid w:val="00A21035"/>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C3206"/>
    <w:rsid w:val="00BF0BBF"/>
    <w:rsid w:val="00BF6C8A"/>
    <w:rsid w:val="00C05571"/>
    <w:rsid w:val="00C1190E"/>
    <w:rsid w:val="00C21472"/>
    <w:rsid w:val="00C246CE"/>
    <w:rsid w:val="00C4171C"/>
    <w:rsid w:val="00C57FA2"/>
    <w:rsid w:val="00CC2E4D"/>
    <w:rsid w:val="00CC78A5"/>
    <w:rsid w:val="00CC7B16"/>
    <w:rsid w:val="00CE15FE"/>
    <w:rsid w:val="00CE2972"/>
    <w:rsid w:val="00D02AF0"/>
    <w:rsid w:val="00D02E15"/>
    <w:rsid w:val="00D14F44"/>
    <w:rsid w:val="00D278E8"/>
    <w:rsid w:val="00D421E8"/>
    <w:rsid w:val="00D44604"/>
    <w:rsid w:val="00D479B3"/>
    <w:rsid w:val="00D52283"/>
    <w:rsid w:val="00D524E5"/>
    <w:rsid w:val="00D72FEF"/>
    <w:rsid w:val="00D755FA"/>
    <w:rsid w:val="00D97C9F"/>
    <w:rsid w:val="00DC4A4E"/>
    <w:rsid w:val="00DD1874"/>
    <w:rsid w:val="00DD63BD"/>
    <w:rsid w:val="00DF14E9"/>
    <w:rsid w:val="00E0092B"/>
    <w:rsid w:val="00E172C6"/>
    <w:rsid w:val="00E24309"/>
    <w:rsid w:val="00E3348F"/>
    <w:rsid w:val="00E367C4"/>
    <w:rsid w:val="00E53D82"/>
    <w:rsid w:val="00E9330A"/>
    <w:rsid w:val="00E95D7B"/>
    <w:rsid w:val="00EE1888"/>
    <w:rsid w:val="00EE6B97"/>
    <w:rsid w:val="00F12C3B"/>
    <w:rsid w:val="00F26884"/>
    <w:rsid w:val="00F6675D"/>
    <w:rsid w:val="00F72ECC"/>
    <w:rsid w:val="00F80E37"/>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8CA341"/>
  <w15:docId w15:val="{6AC52D05-E58B-4FCA-BF79-7B666398D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E95D7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95D7B"/>
    <w:rPr>
      <w:rFonts w:ascii="Calibri" w:hAnsi="Calibri" w:cs="Calibri"/>
      <w:noProof/>
      <w:lang w:val="en-US"/>
    </w:rPr>
  </w:style>
  <w:style w:type="paragraph" w:customStyle="1" w:styleId="EndNoteBibliography">
    <w:name w:val="EndNote Bibliography"/>
    <w:basedOn w:val="Normal"/>
    <w:link w:val="EndNoteBibliographyChar"/>
    <w:rsid w:val="00E95D7B"/>
    <w:rPr>
      <w:rFonts w:ascii="Calibri" w:hAnsi="Calibri" w:cs="Calibri"/>
      <w:noProof/>
      <w:lang w:val="en-US"/>
    </w:rPr>
  </w:style>
  <w:style w:type="character" w:customStyle="1" w:styleId="EndNoteBibliographyChar">
    <w:name w:val="EndNote Bibliography Char"/>
    <w:basedOn w:val="DefaultParagraphFont"/>
    <w:link w:val="EndNoteBibliography"/>
    <w:rsid w:val="00E95D7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374105">
      <w:bodyDiv w:val="1"/>
      <w:marLeft w:val="0"/>
      <w:marRight w:val="0"/>
      <w:marTop w:val="0"/>
      <w:marBottom w:val="0"/>
      <w:divBdr>
        <w:top w:val="none" w:sz="0" w:space="0" w:color="auto"/>
        <w:left w:val="none" w:sz="0" w:space="0" w:color="auto"/>
        <w:bottom w:val="none" w:sz="0" w:space="0" w:color="auto"/>
        <w:right w:val="none" w:sz="0" w:space="0" w:color="auto"/>
      </w:divBdr>
    </w:div>
    <w:div w:id="1091269042">
      <w:bodyDiv w:val="1"/>
      <w:marLeft w:val="0"/>
      <w:marRight w:val="0"/>
      <w:marTop w:val="0"/>
      <w:marBottom w:val="0"/>
      <w:divBdr>
        <w:top w:val="none" w:sz="0" w:space="0" w:color="auto"/>
        <w:left w:val="none" w:sz="0" w:space="0" w:color="auto"/>
        <w:bottom w:val="none" w:sz="0" w:space="0" w:color="auto"/>
        <w:right w:val="none" w:sz="0" w:space="0" w:color="auto"/>
      </w:divBdr>
    </w:div>
    <w:div w:id="1694500566">
      <w:bodyDiv w:val="1"/>
      <w:marLeft w:val="0"/>
      <w:marRight w:val="0"/>
      <w:marTop w:val="0"/>
      <w:marBottom w:val="0"/>
      <w:divBdr>
        <w:top w:val="none" w:sz="0" w:space="0" w:color="auto"/>
        <w:left w:val="none" w:sz="0" w:space="0" w:color="auto"/>
        <w:bottom w:val="none" w:sz="0" w:space="0" w:color="auto"/>
        <w:right w:val="none" w:sz="0" w:space="0" w:color="auto"/>
      </w:divBdr>
    </w:div>
    <w:div w:id="1869832493">
      <w:bodyDiv w:val="1"/>
      <w:marLeft w:val="0"/>
      <w:marRight w:val="0"/>
      <w:marTop w:val="0"/>
      <w:marBottom w:val="0"/>
      <w:divBdr>
        <w:top w:val="none" w:sz="0" w:space="0" w:color="auto"/>
        <w:left w:val="none" w:sz="0" w:space="0" w:color="auto"/>
        <w:bottom w:val="none" w:sz="0" w:space="0" w:color="auto"/>
        <w:right w:val="none" w:sz="0" w:space="0" w:color="auto"/>
      </w:divBdr>
    </w:div>
    <w:div w:id="192133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41</TotalTime>
  <Pages>4</Pages>
  <Words>1943</Words>
  <Characters>11079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2019-10-11T10:43:00Z</dcterms:created>
  <dcterms:modified xsi:type="dcterms:W3CDTF">2019-10-14T14:46:00Z</dcterms:modified>
</cp:coreProperties>
</file>